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6123" w14:textId="77777777" w:rsidR="009B1C6E" w:rsidRDefault="009B1C6E">
      <w:pPr>
        <w:spacing w:line="420" w:lineRule="atLeast"/>
        <w:ind w:left="840" w:hanging="210"/>
        <w:rPr>
          <w:rFonts w:ascii="ＭＳ 明朝" w:hAnsi="ＭＳ 明朝" w:cs="ＭＳ 明朝"/>
          <w:color w:val="000000"/>
        </w:rPr>
      </w:pPr>
      <w:r>
        <w:rPr>
          <w:rFonts w:ascii="ＭＳ 明朝" w:hAnsi="ＭＳ 明朝" w:cs="ＭＳ 明朝" w:hint="eastAsia"/>
          <w:color w:val="000000"/>
        </w:rPr>
        <w:t>○熊本市森林学習館条例施行規則〔環境共生課〕</w:t>
      </w:r>
    </w:p>
    <w:p w14:paraId="06FE57A8"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昭和６２年５月２９日</w:t>
      </w:r>
    </w:p>
    <w:p w14:paraId="667576A2"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規則第３７号</w:t>
      </w:r>
    </w:p>
    <w:p w14:paraId="4355244E"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改正　平成１１年４月２８日規則第３６号</w:t>
      </w:r>
    </w:p>
    <w:p w14:paraId="345E9D0D"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平成１４年９月２６日規則第７２号</w:t>
      </w:r>
    </w:p>
    <w:p w14:paraId="2CBBD7F6"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平成１４年９月２７日規則第８４号</w:t>
      </w:r>
    </w:p>
    <w:p w14:paraId="3D58C2D9"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平成１７年９月３０日規則第８８号</w:t>
      </w:r>
    </w:p>
    <w:p w14:paraId="1137C771"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平成２１年９月１６日規則第６６号</w:t>
      </w:r>
    </w:p>
    <w:p w14:paraId="23EAEDE7" w14:textId="77777777" w:rsidR="009B1C6E" w:rsidRDefault="009B1C6E">
      <w:pPr>
        <w:spacing w:line="420" w:lineRule="atLeast"/>
        <w:jc w:val="right"/>
        <w:rPr>
          <w:rFonts w:ascii="ＭＳ 明朝" w:hAnsi="ＭＳ 明朝" w:cs="ＭＳ 明朝"/>
          <w:color w:val="000000"/>
        </w:rPr>
      </w:pPr>
      <w:r>
        <w:rPr>
          <w:rFonts w:ascii="ＭＳ 明朝" w:hAnsi="ＭＳ 明朝" w:cs="ＭＳ 明朝" w:hint="eastAsia"/>
          <w:color w:val="000000"/>
        </w:rPr>
        <w:t>平成２３年９月２９日規則第６６号</w:t>
      </w:r>
    </w:p>
    <w:p w14:paraId="06B58512"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（趣旨）</w:t>
      </w:r>
    </w:p>
    <w:p w14:paraId="7CBEC852"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第１条　この規則は、熊本市森林学習館条例（昭和６２年条例第１６号。以下「条例」という。）の施行に関し必要な事項を定めるものとする。</w:t>
      </w:r>
    </w:p>
    <w:p w14:paraId="3E17E840"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（開館時間）</w:t>
      </w:r>
    </w:p>
    <w:p w14:paraId="3635BFD5"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第２条　森林学習館（以下「学習館」という。）の開館時間は、次のとおりとする。ただし、市長が特に必要があると認めるときは、これを変更することができる。</w:t>
      </w:r>
    </w:p>
    <w:p w14:paraId="470D2D63"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１月４日から３月１５日まで及び１１月１５日から１２月２８日まで</w:t>
      </w:r>
    </w:p>
    <w:p w14:paraId="5F931517" w14:textId="77777777" w:rsidR="009B1C6E" w:rsidRDefault="009B1C6E">
      <w:pPr>
        <w:spacing w:line="420" w:lineRule="atLeast"/>
        <w:ind w:left="420" w:firstLine="210"/>
        <w:rPr>
          <w:rFonts w:ascii="ＭＳ 明朝" w:hAnsi="ＭＳ 明朝" w:cs="ＭＳ 明朝"/>
          <w:color w:val="000000"/>
        </w:rPr>
      </w:pPr>
      <w:r>
        <w:rPr>
          <w:rFonts w:ascii="ＭＳ 明朝" w:hAnsi="ＭＳ 明朝" w:cs="ＭＳ 明朝" w:hint="eastAsia"/>
          <w:color w:val="000000"/>
        </w:rPr>
        <w:t>午前１０時から午後４時まで</w:t>
      </w:r>
    </w:p>
    <w:p w14:paraId="289D034D"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３月１６日から１１月１４日まで</w:t>
      </w:r>
    </w:p>
    <w:p w14:paraId="2A9462B0" w14:textId="77777777" w:rsidR="009B1C6E" w:rsidRDefault="009B1C6E">
      <w:pPr>
        <w:spacing w:line="420" w:lineRule="atLeast"/>
        <w:ind w:left="420" w:firstLine="210"/>
        <w:rPr>
          <w:rFonts w:ascii="ＭＳ 明朝" w:hAnsi="ＭＳ 明朝" w:cs="ＭＳ 明朝"/>
          <w:color w:val="000000"/>
        </w:rPr>
      </w:pPr>
      <w:r>
        <w:rPr>
          <w:rFonts w:ascii="ＭＳ 明朝" w:hAnsi="ＭＳ 明朝" w:cs="ＭＳ 明朝" w:hint="eastAsia"/>
          <w:color w:val="000000"/>
        </w:rPr>
        <w:t>午前９時から午後５時まで</w:t>
      </w:r>
    </w:p>
    <w:p w14:paraId="199AB8E1"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（休館日）</w:t>
      </w:r>
    </w:p>
    <w:p w14:paraId="5FB35964"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第３条　学習館の休館日は、次のとおりとする。ただし、市長が特に必要があると認めるときは、これを変更し、又は臨時に休館することができる。</w:t>
      </w:r>
    </w:p>
    <w:p w14:paraId="7E79405E"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月曜日（その日が休日（国民の祝日に関する法律（昭和２３年法律第１７８号）第２条に規定する休日をいう。）に当たるときは、その日後においてその日に最も近い休日でない日）</w:t>
      </w:r>
    </w:p>
    <w:p w14:paraId="0CA75DB2"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１２月２９日から翌年１月３日まで</w:t>
      </w:r>
    </w:p>
    <w:p w14:paraId="0BC23FC6" w14:textId="77777777" w:rsidR="009B1C6E" w:rsidRDefault="009B1C6E">
      <w:pPr>
        <w:spacing w:line="420" w:lineRule="atLeast"/>
        <w:ind w:left="840"/>
        <w:rPr>
          <w:rFonts w:ascii="ＭＳ 明朝" w:hAnsi="ＭＳ 明朝" w:cs="ＭＳ 明朝"/>
          <w:color w:val="000000"/>
        </w:rPr>
      </w:pPr>
      <w:r>
        <w:rPr>
          <w:rFonts w:ascii="ＭＳ 明朝" w:hAnsi="ＭＳ 明朝" w:cs="ＭＳ 明朝" w:hint="eastAsia"/>
          <w:color w:val="000000"/>
        </w:rPr>
        <w:t>（平２３規則６６・一部改正）</w:t>
      </w:r>
    </w:p>
    <w:p w14:paraId="361534B2"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（遵守事項）</w:t>
      </w:r>
    </w:p>
    <w:p w14:paraId="6693591E"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第４条　学習館を使用する者は、次に掲げる事項を遵守しなければならない。</w:t>
      </w:r>
    </w:p>
    <w:p w14:paraId="3DCEC68A"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学習館の敷地内の樹木その他の植物を損傷し、又は伐採しないこと。</w:t>
      </w:r>
    </w:p>
    <w:p w14:paraId="40A37287"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lastRenderedPageBreak/>
        <w:t>(2)</w:t>
      </w:r>
      <w:r>
        <w:rPr>
          <w:rFonts w:ascii="ＭＳ 明朝" w:hAnsi="ＭＳ 明朝" w:cs="ＭＳ 明朝" w:hint="eastAsia"/>
          <w:color w:val="000000"/>
        </w:rPr>
        <w:t xml:space="preserve">　酒類、動物類（身体障害者補助犬を除く。）及び危険物を持ち込まないこと。</w:t>
      </w:r>
    </w:p>
    <w:p w14:paraId="596D6914"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定められた場所以外での喫煙その他火気を使用しないこと。</w:t>
      </w:r>
    </w:p>
    <w:p w14:paraId="5564FB68"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(4)</w:t>
      </w:r>
      <w:r>
        <w:rPr>
          <w:rFonts w:ascii="ＭＳ 明朝" w:hAnsi="ＭＳ 明朝" w:cs="ＭＳ 明朝" w:hint="eastAsia"/>
          <w:color w:val="000000"/>
        </w:rPr>
        <w:t xml:space="preserve">　係員の指示に従うこと。</w:t>
      </w:r>
    </w:p>
    <w:p w14:paraId="1E0DA823"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(5)</w:t>
      </w:r>
      <w:r>
        <w:rPr>
          <w:rFonts w:ascii="ＭＳ 明朝" w:hAnsi="ＭＳ 明朝" w:cs="ＭＳ 明朝" w:hint="eastAsia"/>
          <w:color w:val="000000"/>
        </w:rPr>
        <w:t xml:space="preserve">　前各号に掲げるもののほか、市長が管理上必要と認める事項</w:t>
      </w:r>
    </w:p>
    <w:p w14:paraId="0CF81B03" w14:textId="77777777" w:rsidR="009B1C6E" w:rsidRDefault="009B1C6E">
      <w:pPr>
        <w:spacing w:line="420" w:lineRule="atLeast"/>
        <w:ind w:left="840"/>
        <w:rPr>
          <w:rFonts w:ascii="ＭＳ 明朝" w:hAnsi="ＭＳ 明朝" w:cs="ＭＳ 明朝"/>
          <w:color w:val="000000"/>
        </w:rPr>
      </w:pPr>
      <w:r>
        <w:rPr>
          <w:rFonts w:ascii="ＭＳ 明朝" w:hAnsi="ＭＳ 明朝" w:cs="ＭＳ 明朝" w:hint="eastAsia"/>
          <w:color w:val="000000"/>
        </w:rPr>
        <w:t>（平１４規則８４・平２３規則６６・一部改正）</w:t>
      </w:r>
    </w:p>
    <w:p w14:paraId="253102D4"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（使用許可の申請）</w:t>
      </w:r>
    </w:p>
    <w:p w14:paraId="64465674"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第５条　学習館を使用しようとする者は、森林学習館使用許可申請書（様式第１号）を市長に提出しなければならない。</w:t>
      </w:r>
    </w:p>
    <w:p w14:paraId="796F9F5E"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２　前項の規定にかかわらず、学習館の展示室を個人で使用しようとする者は、あらかじめ森林学習館使用受付簿（様式第２号）に所定事項を記載することにより申請を行うものとする。</w:t>
      </w:r>
    </w:p>
    <w:p w14:paraId="4A41C352"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３　第１項の申請書は、使用日の７日前までに市長に提出しなければならない。ただし、市長がやむを得ない理由があると認めたときは、この限りでない。</w:t>
      </w:r>
    </w:p>
    <w:p w14:paraId="57EF0976" w14:textId="77777777" w:rsidR="009B1C6E" w:rsidRDefault="009B1C6E">
      <w:pPr>
        <w:spacing w:line="420" w:lineRule="atLeast"/>
        <w:ind w:left="840"/>
        <w:rPr>
          <w:rFonts w:ascii="ＭＳ 明朝" w:hAnsi="ＭＳ 明朝" w:cs="ＭＳ 明朝"/>
          <w:color w:val="000000"/>
        </w:rPr>
      </w:pPr>
      <w:r>
        <w:rPr>
          <w:rFonts w:ascii="ＭＳ 明朝" w:hAnsi="ＭＳ 明朝" w:cs="ＭＳ 明朝" w:hint="eastAsia"/>
          <w:color w:val="000000"/>
        </w:rPr>
        <w:t>（平１４規則７２・平１７規則８８・一部改正）</w:t>
      </w:r>
    </w:p>
    <w:p w14:paraId="084AEA8F"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（使用許可書等）</w:t>
      </w:r>
    </w:p>
    <w:p w14:paraId="3D1518A3"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第６条　市長は、前条第１項の申請書の提出に基づき、学習館の使用を許可したときは、森林学習館使用許可書（様式第３号）を交付するものとする。</w:t>
      </w:r>
    </w:p>
    <w:p w14:paraId="6D5EF0E4"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２　前条第２項の規定により申請を行う者は、同項の受付簿に記載した事項について市長の確認を受けることにより使用の許可を受けたものとみなす。この場合において、市長は、必要な範囲内で当該申請者に対し質問をすることができる。</w:t>
      </w:r>
    </w:p>
    <w:p w14:paraId="6E4C4633" w14:textId="77777777" w:rsidR="009B1C6E" w:rsidRDefault="009B1C6E">
      <w:pPr>
        <w:spacing w:line="420" w:lineRule="atLeast"/>
        <w:ind w:left="840"/>
        <w:rPr>
          <w:rFonts w:ascii="ＭＳ 明朝" w:hAnsi="ＭＳ 明朝" w:cs="ＭＳ 明朝"/>
          <w:color w:val="000000"/>
        </w:rPr>
      </w:pPr>
      <w:r>
        <w:rPr>
          <w:rFonts w:ascii="ＭＳ 明朝" w:hAnsi="ＭＳ 明朝" w:cs="ＭＳ 明朝" w:hint="eastAsia"/>
          <w:color w:val="000000"/>
        </w:rPr>
        <w:t>（平１７規則８８・一部改正）</w:t>
      </w:r>
    </w:p>
    <w:p w14:paraId="7F2DF79A"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（指定申請書に添付する書類）</w:t>
      </w:r>
    </w:p>
    <w:p w14:paraId="2180D080"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第７条　条例第１１条第１項に規定する規則で定める書類は、次のとおりとする。</w:t>
      </w:r>
    </w:p>
    <w:p w14:paraId="65CB7439"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収支予算書</w:t>
      </w:r>
    </w:p>
    <w:p w14:paraId="4936919D"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当該団体の定款又は寄附行為の写し及び登記事項証明書（法人以外の団体にあっては、当該団体の目的、組織、運営等を明らかにした会則、規約その他の書類）</w:t>
      </w:r>
    </w:p>
    <w:p w14:paraId="4D7D04E2"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当該団体の前事業年度の貸借対照表、損益計算書、利益処分に関する書類及び財産目録（これらの書類を作成する義務がないものにあっては、これらに類する書類）</w:t>
      </w:r>
    </w:p>
    <w:p w14:paraId="50312B91"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(4)</w:t>
      </w:r>
      <w:r>
        <w:rPr>
          <w:rFonts w:ascii="ＭＳ 明朝" w:hAnsi="ＭＳ 明朝" w:cs="ＭＳ 明朝" w:hint="eastAsia"/>
          <w:color w:val="000000"/>
        </w:rPr>
        <w:t xml:space="preserve">　市税滞納有無調査承諾書</w:t>
      </w:r>
    </w:p>
    <w:p w14:paraId="09612EDF"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lastRenderedPageBreak/>
        <w:t>(5)</w:t>
      </w:r>
      <w:r>
        <w:rPr>
          <w:rFonts w:ascii="ＭＳ 明朝" w:hAnsi="ＭＳ 明朝" w:cs="ＭＳ 明朝" w:hint="eastAsia"/>
          <w:color w:val="000000"/>
        </w:rPr>
        <w:t xml:space="preserve">　都道府県労働局等が発行する労働保険料に係る納付証明書</w:t>
      </w:r>
    </w:p>
    <w:p w14:paraId="704FE8A4"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(6)</w:t>
      </w:r>
      <w:r>
        <w:rPr>
          <w:rFonts w:ascii="ＭＳ 明朝" w:hAnsi="ＭＳ 明朝" w:cs="ＭＳ 明朝" w:hint="eastAsia"/>
          <w:color w:val="000000"/>
        </w:rPr>
        <w:t xml:space="preserve">　前各号に掲げるもののほか、市長が必要と認める書類</w:t>
      </w:r>
    </w:p>
    <w:p w14:paraId="449CCE4B" w14:textId="77777777" w:rsidR="009B1C6E" w:rsidRDefault="009B1C6E">
      <w:pPr>
        <w:spacing w:line="420" w:lineRule="atLeast"/>
        <w:ind w:left="840"/>
        <w:rPr>
          <w:rFonts w:ascii="ＭＳ 明朝" w:hAnsi="ＭＳ 明朝" w:cs="ＭＳ 明朝"/>
          <w:color w:val="000000"/>
        </w:rPr>
      </w:pPr>
      <w:r>
        <w:rPr>
          <w:rFonts w:ascii="ＭＳ 明朝" w:hAnsi="ＭＳ 明朝" w:cs="ＭＳ 明朝" w:hint="eastAsia"/>
          <w:color w:val="000000"/>
        </w:rPr>
        <w:t>（平１７規則８８・追加、平２３規則６６・旧第８条繰上・一部改正）</w:t>
      </w:r>
    </w:p>
    <w:p w14:paraId="4EA2F0AE"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（協定に定める事項）</w:t>
      </w:r>
    </w:p>
    <w:p w14:paraId="5BF83074"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第８条　条例第１４条第２項に規定する協定に定める事項は、次のとおりとする。</w:t>
      </w:r>
    </w:p>
    <w:p w14:paraId="5B67CBE6"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指定期間に関する事項</w:t>
      </w:r>
    </w:p>
    <w:p w14:paraId="380616C3"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管理業務の内容に関する事項</w:t>
      </w:r>
    </w:p>
    <w:p w14:paraId="5CA4195E"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事業計画に関する事項</w:t>
      </w:r>
    </w:p>
    <w:p w14:paraId="1E6E25E2"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(4)</w:t>
      </w:r>
      <w:r>
        <w:rPr>
          <w:rFonts w:ascii="ＭＳ 明朝" w:hAnsi="ＭＳ 明朝" w:cs="ＭＳ 明朝" w:hint="eastAsia"/>
          <w:color w:val="000000"/>
        </w:rPr>
        <w:t xml:space="preserve">　開館時間及び休館日に関する事項</w:t>
      </w:r>
    </w:p>
    <w:p w14:paraId="02B016D0"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(5)</w:t>
      </w:r>
      <w:r>
        <w:rPr>
          <w:rFonts w:ascii="ＭＳ 明朝" w:hAnsi="ＭＳ 明朝" w:cs="ＭＳ 明朝" w:hint="eastAsia"/>
          <w:color w:val="000000"/>
        </w:rPr>
        <w:t xml:space="preserve">　管理業務及び経理状況の報告等に関する事項</w:t>
      </w:r>
    </w:p>
    <w:p w14:paraId="3867D685"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(6)</w:t>
      </w:r>
      <w:r>
        <w:rPr>
          <w:rFonts w:ascii="ＭＳ 明朝" w:hAnsi="ＭＳ 明朝" w:cs="ＭＳ 明朝" w:hint="eastAsia"/>
          <w:color w:val="000000"/>
        </w:rPr>
        <w:t xml:space="preserve">　事業報告書に関する事項</w:t>
      </w:r>
    </w:p>
    <w:p w14:paraId="029D8590"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(7)</w:t>
      </w:r>
      <w:r>
        <w:rPr>
          <w:rFonts w:ascii="ＭＳ 明朝" w:hAnsi="ＭＳ 明朝" w:cs="ＭＳ 明朝" w:hint="eastAsia"/>
          <w:color w:val="000000"/>
        </w:rPr>
        <w:t xml:space="preserve">　本市が支払うべき管理に係る費用に関する事項</w:t>
      </w:r>
    </w:p>
    <w:p w14:paraId="7019963D"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(8)</w:t>
      </w:r>
      <w:r>
        <w:rPr>
          <w:rFonts w:ascii="ＭＳ 明朝" w:hAnsi="ＭＳ 明朝" w:cs="ＭＳ 明朝" w:hint="eastAsia"/>
          <w:color w:val="000000"/>
        </w:rPr>
        <w:t xml:space="preserve">　指定の取消し及び管理業務の停止に関する事項</w:t>
      </w:r>
    </w:p>
    <w:p w14:paraId="20A59375"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(9)</w:t>
      </w:r>
      <w:r>
        <w:rPr>
          <w:rFonts w:ascii="ＭＳ 明朝" w:hAnsi="ＭＳ 明朝" w:cs="ＭＳ 明朝" w:hint="eastAsia"/>
          <w:color w:val="000000"/>
        </w:rPr>
        <w:t xml:space="preserve">　管理業務を行うに当たって保有する個人情報の保護に関する事項</w:t>
      </w:r>
    </w:p>
    <w:p w14:paraId="0B16AC46"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(10)</w:t>
      </w:r>
      <w:r>
        <w:rPr>
          <w:rFonts w:ascii="ＭＳ 明朝" w:hAnsi="ＭＳ 明朝" w:cs="ＭＳ 明朝" w:hint="eastAsia"/>
          <w:color w:val="000000"/>
        </w:rPr>
        <w:t xml:space="preserve">　事故及び損害の賠償に関する事項</w:t>
      </w:r>
    </w:p>
    <w:p w14:paraId="7FDBB8D1" w14:textId="77777777" w:rsidR="009B1C6E" w:rsidRDefault="009B1C6E">
      <w:pPr>
        <w:spacing w:line="420" w:lineRule="atLeast"/>
        <w:ind w:left="420" w:hanging="210"/>
        <w:rPr>
          <w:rFonts w:ascii="ＭＳ 明朝" w:hAnsi="ＭＳ 明朝" w:cs="ＭＳ 明朝"/>
          <w:color w:val="000000"/>
        </w:rPr>
      </w:pPr>
      <w:r>
        <w:rPr>
          <w:rFonts w:ascii="ＭＳ 明朝" w:hAnsi="ＭＳ 明朝" w:cs="ＭＳ 明朝"/>
          <w:color w:val="000000"/>
        </w:rPr>
        <w:t>(11)</w:t>
      </w:r>
      <w:r>
        <w:rPr>
          <w:rFonts w:ascii="ＭＳ 明朝" w:hAnsi="ＭＳ 明朝" w:cs="ＭＳ 明朝" w:hint="eastAsia"/>
          <w:color w:val="000000"/>
        </w:rPr>
        <w:t xml:space="preserve">　前各号に掲げるもののほか、市長が必要と認める事項</w:t>
      </w:r>
    </w:p>
    <w:p w14:paraId="2B4E1D64" w14:textId="77777777" w:rsidR="009B1C6E" w:rsidRDefault="009B1C6E">
      <w:pPr>
        <w:spacing w:line="420" w:lineRule="atLeast"/>
        <w:ind w:left="840"/>
        <w:rPr>
          <w:rFonts w:ascii="ＭＳ 明朝" w:hAnsi="ＭＳ 明朝" w:cs="ＭＳ 明朝"/>
          <w:color w:val="000000"/>
        </w:rPr>
      </w:pPr>
      <w:r>
        <w:rPr>
          <w:rFonts w:ascii="ＭＳ 明朝" w:hAnsi="ＭＳ 明朝" w:cs="ＭＳ 明朝" w:hint="eastAsia"/>
          <w:color w:val="000000"/>
        </w:rPr>
        <w:t>（平１７規則８８・追加、平２３規則６６・旧第９条繰上・一部改正）</w:t>
      </w:r>
    </w:p>
    <w:p w14:paraId="6ECA5BB8" w14:textId="77777777" w:rsidR="009B1C6E" w:rsidRDefault="009B1C6E">
      <w:pPr>
        <w:spacing w:line="420" w:lineRule="atLeast"/>
        <w:ind w:left="210"/>
        <w:rPr>
          <w:rFonts w:ascii="ＭＳ 明朝" w:hAnsi="ＭＳ 明朝" w:cs="ＭＳ 明朝"/>
          <w:color w:val="000000"/>
        </w:rPr>
      </w:pPr>
      <w:r>
        <w:rPr>
          <w:rFonts w:ascii="ＭＳ 明朝" w:hAnsi="ＭＳ 明朝" w:cs="ＭＳ 明朝" w:hint="eastAsia"/>
          <w:color w:val="000000"/>
        </w:rPr>
        <w:t>（雑則）</w:t>
      </w:r>
    </w:p>
    <w:p w14:paraId="642D8C3D"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第９条　この規則の施行に関し必要な事項は、市長が別に定める。</w:t>
      </w:r>
    </w:p>
    <w:p w14:paraId="4269FDAA" w14:textId="77777777" w:rsidR="009B1C6E" w:rsidRDefault="009B1C6E">
      <w:pPr>
        <w:spacing w:line="420" w:lineRule="atLeast"/>
        <w:ind w:left="840"/>
        <w:rPr>
          <w:rFonts w:ascii="ＭＳ 明朝" w:hAnsi="ＭＳ 明朝" w:cs="ＭＳ 明朝"/>
          <w:color w:val="000000"/>
        </w:rPr>
      </w:pPr>
      <w:r>
        <w:rPr>
          <w:rFonts w:ascii="ＭＳ 明朝" w:hAnsi="ＭＳ 明朝" w:cs="ＭＳ 明朝" w:hint="eastAsia"/>
          <w:color w:val="000000"/>
        </w:rPr>
        <w:t>（平１７規則８８・旧第７条繰下・一部改正、平２３規則６６・旧第１０条繰上）</w:t>
      </w:r>
    </w:p>
    <w:p w14:paraId="7735461C" w14:textId="77777777" w:rsidR="009B1C6E" w:rsidRDefault="009B1C6E">
      <w:pPr>
        <w:spacing w:line="420" w:lineRule="atLeast"/>
        <w:ind w:left="630"/>
        <w:rPr>
          <w:rFonts w:ascii="ＭＳ 明朝" w:hAnsi="ＭＳ 明朝" w:cs="ＭＳ 明朝"/>
          <w:color w:val="000000"/>
        </w:rPr>
      </w:pPr>
      <w:r>
        <w:rPr>
          <w:rFonts w:ascii="ＭＳ 明朝" w:hAnsi="ＭＳ 明朝" w:cs="ＭＳ 明朝" w:hint="eastAsia"/>
          <w:color w:val="000000"/>
        </w:rPr>
        <w:t>附　則</w:t>
      </w:r>
    </w:p>
    <w:p w14:paraId="51CF9AD4" w14:textId="77777777" w:rsidR="009B1C6E" w:rsidRDefault="009B1C6E">
      <w:pPr>
        <w:spacing w:line="420" w:lineRule="atLeast"/>
        <w:ind w:firstLine="210"/>
        <w:rPr>
          <w:rFonts w:ascii="ＭＳ 明朝" w:hAnsi="ＭＳ 明朝" w:cs="ＭＳ 明朝"/>
          <w:color w:val="000000"/>
        </w:rPr>
      </w:pPr>
      <w:r>
        <w:rPr>
          <w:rFonts w:ascii="ＭＳ 明朝" w:hAnsi="ＭＳ 明朝" w:cs="ＭＳ 明朝" w:hint="eastAsia"/>
          <w:color w:val="000000"/>
        </w:rPr>
        <w:t>この規則は、昭和６２年５月３１日から施行する。</w:t>
      </w:r>
    </w:p>
    <w:p w14:paraId="24739E32" w14:textId="77777777" w:rsidR="009B1C6E" w:rsidRDefault="009B1C6E">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則（平成１１年４月２８日規則第３６号）</w:t>
      </w:r>
    </w:p>
    <w:p w14:paraId="02889C37"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１　この規則は、公布の日から施行する。</w:t>
      </w:r>
    </w:p>
    <w:p w14:paraId="4DDD985C" w14:textId="77777777" w:rsidR="009B1C6E" w:rsidRDefault="009B1C6E">
      <w:pPr>
        <w:spacing w:line="420" w:lineRule="atLeast"/>
        <w:ind w:left="210" w:hanging="210"/>
        <w:rPr>
          <w:rFonts w:ascii="ＭＳ 明朝" w:hAnsi="ＭＳ 明朝" w:cs="ＭＳ 明朝"/>
          <w:color w:val="000000"/>
        </w:rPr>
      </w:pPr>
      <w:r>
        <w:rPr>
          <w:rFonts w:ascii="ＭＳ 明朝" w:hAnsi="ＭＳ 明朝" w:cs="ＭＳ 明朝" w:hint="eastAsia"/>
          <w:color w:val="000000"/>
        </w:rPr>
        <w:t>２　この規則の施行の日前において、この規則による改正前の規則の規定に基づき作成された用紙は、当分の間、必要な調整をして使用することができる。</w:t>
      </w:r>
    </w:p>
    <w:p w14:paraId="492AEBF9" w14:textId="77777777" w:rsidR="009B1C6E" w:rsidRDefault="009B1C6E">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則（平成１４年９月２６日規則第７２号）</w:t>
      </w:r>
    </w:p>
    <w:p w14:paraId="0EAB852E" w14:textId="77777777" w:rsidR="009B1C6E" w:rsidRDefault="009B1C6E">
      <w:pPr>
        <w:spacing w:line="420" w:lineRule="atLeast"/>
        <w:ind w:firstLine="210"/>
        <w:rPr>
          <w:rFonts w:ascii="ＭＳ 明朝" w:hAnsi="ＭＳ 明朝" w:cs="ＭＳ 明朝"/>
          <w:color w:val="000000"/>
        </w:rPr>
      </w:pPr>
      <w:r>
        <w:rPr>
          <w:rFonts w:ascii="ＭＳ 明朝" w:hAnsi="ＭＳ 明朝" w:cs="ＭＳ 明朝" w:hint="eastAsia"/>
          <w:color w:val="000000"/>
        </w:rPr>
        <w:t>この規則は、公布の日から施行する。</w:t>
      </w:r>
    </w:p>
    <w:p w14:paraId="6520E164" w14:textId="77777777" w:rsidR="009B1C6E" w:rsidRDefault="009B1C6E">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則（平成１４年９月２７日規則第８４号）</w:t>
      </w:r>
    </w:p>
    <w:p w14:paraId="3973B58F" w14:textId="77777777" w:rsidR="009B1C6E" w:rsidRDefault="009B1C6E">
      <w:pPr>
        <w:spacing w:line="420" w:lineRule="atLeast"/>
        <w:ind w:firstLine="210"/>
        <w:rPr>
          <w:rFonts w:ascii="ＭＳ 明朝" w:hAnsi="ＭＳ 明朝" w:cs="ＭＳ 明朝"/>
          <w:color w:val="000000"/>
        </w:rPr>
      </w:pPr>
      <w:r>
        <w:rPr>
          <w:rFonts w:ascii="ＭＳ 明朝" w:hAnsi="ＭＳ 明朝" w:cs="ＭＳ 明朝" w:hint="eastAsia"/>
          <w:color w:val="000000"/>
        </w:rPr>
        <w:lastRenderedPageBreak/>
        <w:t>この規則は、平成１４年１０月１日から施行する。</w:t>
      </w:r>
    </w:p>
    <w:p w14:paraId="27090EEF" w14:textId="77777777" w:rsidR="009B1C6E" w:rsidRDefault="009B1C6E">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則（平成１７年９月３０日規則第８８号）</w:t>
      </w:r>
    </w:p>
    <w:p w14:paraId="218EB474" w14:textId="77777777" w:rsidR="009B1C6E" w:rsidRDefault="009B1C6E">
      <w:pPr>
        <w:spacing w:line="420" w:lineRule="atLeast"/>
        <w:ind w:firstLine="210"/>
        <w:rPr>
          <w:rFonts w:ascii="ＭＳ 明朝" w:hAnsi="ＭＳ 明朝" w:cs="ＭＳ 明朝"/>
          <w:color w:val="000000"/>
        </w:rPr>
      </w:pPr>
      <w:r>
        <w:rPr>
          <w:rFonts w:ascii="ＭＳ 明朝" w:hAnsi="ＭＳ 明朝" w:cs="ＭＳ 明朝" w:hint="eastAsia"/>
          <w:color w:val="000000"/>
        </w:rPr>
        <w:t>この規則は、公布の日から施行する。ただし、第５条及び第６条の改正規定は、平成１８年４月１日から施行する。</w:t>
      </w:r>
    </w:p>
    <w:p w14:paraId="7AAD8082" w14:textId="77777777" w:rsidR="009B1C6E" w:rsidRDefault="009B1C6E">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則（平成２１年９月１６日規則第６６号）</w:t>
      </w:r>
    </w:p>
    <w:p w14:paraId="6D27E82B" w14:textId="77777777" w:rsidR="009B1C6E" w:rsidRDefault="009B1C6E">
      <w:pPr>
        <w:spacing w:line="420" w:lineRule="atLeast"/>
        <w:ind w:firstLine="210"/>
        <w:rPr>
          <w:rFonts w:ascii="ＭＳ 明朝" w:hAnsi="ＭＳ 明朝" w:cs="ＭＳ 明朝"/>
          <w:color w:val="000000"/>
        </w:rPr>
      </w:pPr>
      <w:r>
        <w:rPr>
          <w:rFonts w:ascii="ＭＳ 明朝" w:hAnsi="ＭＳ 明朝" w:cs="ＭＳ 明朝" w:hint="eastAsia"/>
          <w:color w:val="000000"/>
        </w:rPr>
        <w:t>この規則は、公布の日から施行する。</w:t>
      </w:r>
    </w:p>
    <w:p w14:paraId="2F02BE05" w14:textId="77777777" w:rsidR="009B1C6E" w:rsidRDefault="009B1C6E">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則（平成２３年９月２９日規則第６６号）</w:t>
      </w:r>
    </w:p>
    <w:p w14:paraId="17409E29" w14:textId="77777777" w:rsidR="009B1C6E" w:rsidRDefault="009B1C6E">
      <w:pPr>
        <w:spacing w:line="420" w:lineRule="atLeast"/>
        <w:ind w:firstLine="210"/>
        <w:rPr>
          <w:rFonts w:ascii="ＭＳ 明朝" w:hAnsi="ＭＳ 明朝" w:cs="ＭＳ 明朝"/>
          <w:color w:val="000000"/>
        </w:rPr>
      </w:pPr>
      <w:r>
        <w:rPr>
          <w:rFonts w:ascii="ＭＳ 明朝" w:hAnsi="ＭＳ 明朝" w:cs="ＭＳ 明朝" w:hint="eastAsia"/>
          <w:color w:val="000000"/>
        </w:rPr>
        <w:t>この規則は、公布の日から施行する。</w:t>
      </w:r>
    </w:p>
    <w:sectPr w:rsidR="009B1C6E">
      <w:pgSz w:w="11905" w:h="16837"/>
      <w:pgMar w:top="1133" w:right="1870" w:bottom="1417" w:left="1870" w:header="720" w:footer="720" w:gutter="0"/>
      <w:cols w:space="720"/>
      <w:noEndnote/>
      <w:docGrid w:type="linesAndChars" w:linePitch="47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07"/>
  <w:drawingGridVerticalSpacing w:val="476"/>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CD"/>
    <w:rsid w:val="009B1C6E"/>
    <w:rsid w:val="00A22E2B"/>
    <w:rsid w:val="00AE1FB4"/>
    <w:rsid w:val="00BB62A2"/>
    <w:rsid w:val="00C2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48A9F8"/>
  <w14:defaultImageDpi w14:val="0"/>
  <w15:docId w15:val="{BB025F13-1896-49D3-9337-2D4271F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2007</Characters>
  <Application>Microsoft Office Word</Application>
  <DocSecurity>0</DocSecurity>
  <Lines>16</Lines>
  <Paragraphs>4</Paragraphs>
  <ScaleCrop>false</ScaleCrop>
  <Company>熊本市</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Staff Director-2G</cp:lastModifiedBy>
  <cp:revision>2</cp:revision>
  <dcterms:created xsi:type="dcterms:W3CDTF">2023-07-04T07:10:00Z</dcterms:created>
  <dcterms:modified xsi:type="dcterms:W3CDTF">2023-07-04T07:10:00Z</dcterms:modified>
</cp:coreProperties>
</file>